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2A44" w14:textId="4C9A7F60" w:rsidR="00B37D68" w:rsidRPr="00A24B36" w:rsidRDefault="00B37D68" w:rsidP="00A24B36">
      <w:pPr>
        <w:pStyle w:val="ListParagraph"/>
        <w:adjustRightInd w:val="0"/>
        <w:ind w:left="360"/>
        <w:jc w:val="center"/>
        <w:rPr>
          <w:rFonts w:cs="Times New Roman"/>
          <w:sz w:val="22"/>
          <w:szCs w:val="22"/>
          <w:u w:val="single"/>
        </w:rPr>
      </w:pPr>
      <w:r w:rsidRPr="00A24B36">
        <w:rPr>
          <w:rFonts w:eastAsia="Times New Roman" w:cs="Times New Roman"/>
          <w:b/>
          <w:bCs/>
          <w:color w:val="000000"/>
          <w:sz w:val="22"/>
          <w:szCs w:val="22"/>
          <w:u w:val="single"/>
        </w:rPr>
        <w:t>Non-</w:t>
      </w:r>
      <w:r w:rsidR="00A24B36" w:rsidRPr="00A24B36">
        <w:rPr>
          <w:rFonts w:eastAsia="Times New Roman" w:cs="Times New Roman"/>
          <w:b/>
          <w:bCs/>
          <w:color w:val="000000"/>
          <w:sz w:val="22"/>
          <w:szCs w:val="22"/>
          <w:u w:val="single"/>
        </w:rPr>
        <w:t>R</w:t>
      </w:r>
      <w:r w:rsidRPr="00A24B36">
        <w:rPr>
          <w:rFonts w:eastAsia="Times New Roman" w:cs="Times New Roman"/>
          <w:b/>
          <w:bCs/>
          <w:color w:val="000000"/>
          <w:sz w:val="22"/>
          <w:szCs w:val="22"/>
          <w:u w:val="single"/>
        </w:rPr>
        <w:t>esident Shareholders</w:t>
      </w:r>
      <w:r w:rsidR="00A24B36" w:rsidRPr="00A24B36">
        <w:rPr>
          <w:rFonts w:eastAsia="Times New Roman" w:cs="Times New Roman"/>
          <w:b/>
          <w:bCs/>
          <w:color w:val="000000"/>
          <w:sz w:val="22"/>
          <w:szCs w:val="22"/>
          <w:u w:val="single"/>
        </w:rPr>
        <w:t>:</w:t>
      </w:r>
    </w:p>
    <w:p w14:paraId="54BD4BDE" w14:textId="77777777" w:rsidR="00B37D68" w:rsidRPr="009A0648" w:rsidRDefault="00B37D68" w:rsidP="00B37D68">
      <w:pPr>
        <w:pStyle w:val="ListParagraph"/>
        <w:adjustRightInd w:val="0"/>
        <w:ind w:left="360"/>
        <w:jc w:val="both"/>
        <w:rPr>
          <w:rFonts w:cs="Times New Roman"/>
          <w:sz w:val="22"/>
          <w:szCs w:val="22"/>
        </w:rPr>
      </w:pPr>
    </w:p>
    <w:p w14:paraId="7D146354" w14:textId="77777777" w:rsidR="00B37D68" w:rsidRPr="009A0648" w:rsidRDefault="00B37D68" w:rsidP="00B37D68">
      <w:pPr>
        <w:shd w:val="clear" w:color="auto" w:fill="FFFFFF"/>
        <w:ind w:left="360"/>
        <w:jc w:val="both"/>
        <w:rPr>
          <w:rStyle w:val="object"/>
          <w:color w:val="000000"/>
          <w:sz w:val="22"/>
          <w:szCs w:val="22"/>
        </w:rPr>
      </w:pPr>
      <w:r w:rsidRPr="009A0648">
        <w:rPr>
          <w:rStyle w:val="object"/>
          <w:color w:val="000000"/>
          <w:sz w:val="22"/>
          <w:szCs w:val="22"/>
        </w:rPr>
        <w:t>In respect of Non-Resident Shareholders, Tax will be deducted at source (“TDS”) under Section</w:t>
      </w:r>
      <w:r w:rsidRPr="009A0648">
        <w:rPr>
          <w:rStyle w:val="object"/>
          <w:color w:val="FF0000"/>
          <w:sz w:val="22"/>
          <w:szCs w:val="22"/>
        </w:rPr>
        <w:t xml:space="preserve"> </w:t>
      </w:r>
      <w:r w:rsidRPr="009A0648">
        <w:rPr>
          <w:rStyle w:val="object"/>
          <w:color w:val="000000" w:themeColor="text1"/>
          <w:sz w:val="22"/>
          <w:szCs w:val="22"/>
        </w:rPr>
        <w:t>195 and Section 196D</w:t>
      </w:r>
      <w:r w:rsidRPr="009A0648">
        <w:rPr>
          <w:rStyle w:val="object"/>
          <w:color w:val="FF0000"/>
          <w:sz w:val="22"/>
          <w:szCs w:val="22"/>
        </w:rPr>
        <w:t xml:space="preserve"> </w:t>
      </w:r>
      <w:r w:rsidRPr="009A0648">
        <w:rPr>
          <w:rStyle w:val="object"/>
          <w:color w:val="000000"/>
          <w:sz w:val="22"/>
          <w:szCs w:val="22"/>
        </w:rPr>
        <w:t xml:space="preserve">of the Act @ 20% </w:t>
      </w:r>
      <w:r w:rsidRPr="009A0648">
        <w:rPr>
          <w:rFonts w:eastAsia="Times New Roman"/>
          <w:sz w:val="22"/>
          <w:szCs w:val="22"/>
        </w:rPr>
        <w:t xml:space="preserve">(plus applicable surcharge and cess) </w:t>
      </w:r>
      <w:r w:rsidRPr="009A0648">
        <w:rPr>
          <w:rStyle w:val="object"/>
          <w:color w:val="000000"/>
          <w:sz w:val="22"/>
          <w:szCs w:val="22"/>
        </w:rPr>
        <w:t>on the amount of dividend payable unless exempt under the provisions of the Act as given below:</w:t>
      </w:r>
    </w:p>
    <w:p w14:paraId="12338BFF" w14:textId="77777777" w:rsidR="00B37D68" w:rsidRPr="009A0648" w:rsidRDefault="00B37D68" w:rsidP="00B37D68">
      <w:pPr>
        <w:shd w:val="clear" w:color="auto" w:fill="FFFFFF"/>
        <w:ind w:left="360"/>
        <w:jc w:val="both"/>
        <w:rPr>
          <w:rStyle w:val="object"/>
          <w:color w:val="000000"/>
          <w:sz w:val="22"/>
          <w:szCs w:val="22"/>
        </w:rPr>
      </w:pPr>
    </w:p>
    <w:tbl>
      <w:tblPr>
        <w:tblW w:w="8589"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1213"/>
        <w:gridCol w:w="5311"/>
      </w:tblGrid>
      <w:tr w:rsidR="00B37D68" w:rsidRPr="009A0648" w14:paraId="74FCB06D" w14:textId="77777777" w:rsidTr="00A74E1C">
        <w:trPr>
          <w:jc w:val="right"/>
        </w:trPr>
        <w:tc>
          <w:tcPr>
            <w:tcW w:w="2065" w:type="dxa"/>
            <w:tcBorders>
              <w:top w:val="single" w:sz="4" w:space="0" w:color="auto"/>
              <w:left w:val="single" w:sz="4" w:space="0" w:color="auto"/>
              <w:bottom w:val="single" w:sz="4" w:space="0" w:color="auto"/>
              <w:right w:val="single" w:sz="4" w:space="0" w:color="auto"/>
            </w:tcBorders>
            <w:hideMark/>
          </w:tcPr>
          <w:p w14:paraId="5E8E807D" w14:textId="77777777" w:rsidR="00B37D68" w:rsidRPr="009A0648" w:rsidRDefault="00B37D68" w:rsidP="00A74E1C">
            <w:pPr>
              <w:rPr>
                <w:sz w:val="22"/>
                <w:szCs w:val="22"/>
              </w:rPr>
            </w:pPr>
            <w:r w:rsidRPr="009A0648">
              <w:rPr>
                <w:rFonts w:eastAsia="Times New Roman"/>
                <w:b/>
                <w:bCs/>
                <w:sz w:val="22"/>
                <w:szCs w:val="22"/>
              </w:rPr>
              <w:t>Category of Shareholder</w:t>
            </w:r>
          </w:p>
        </w:tc>
        <w:tc>
          <w:tcPr>
            <w:tcW w:w="1213" w:type="dxa"/>
            <w:tcBorders>
              <w:top w:val="single" w:sz="4" w:space="0" w:color="auto"/>
              <w:left w:val="single" w:sz="4" w:space="0" w:color="auto"/>
              <w:bottom w:val="single" w:sz="4" w:space="0" w:color="auto"/>
              <w:right w:val="single" w:sz="4" w:space="0" w:color="auto"/>
            </w:tcBorders>
            <w:hideMark/>
          </w:tcPr>
          <w:p w14:paraId="1BE426DC" w14:textId="77777777" w:rsidR="00B37D68" w:rsidRPr="009A0648" w:rsidRDefault="00B37D68" w:rsidP="00A74E1C">
            <w:pPr>
              <w:rPr>
                <w:sz w:val="22"/>
                <w:szCs w:val="22"/>
              </w:rPr>
            </w:pPr>
            <w:r w:rsidRPr="009A0648">
              <w:rPr>
                <w:rFonts w:eastAsia="Times New Roman"/>
                <w:b/>
                <w:bCs/>
                <w:sz w:val="22"/>
                <w:szCs w:val="22"/>
              </w:rPr>
              <w:t xml:space="preserve">Tax Deduction Rate </w:t>
            </w:r>
          </w:p>
        </w:tc>
        <w:tc>
          <w:tcPr>
            <w:tcW w:w="5311" w:type="dxa"/>
            <w:tcBorders>
              <w:top w:val="single" w:sz="4" w:space="0" w:color="auto"/>
              <w:left w:val="single" w:sz="4" w:space="0" w:color="auto"/>
              <w:bottom w:val="single" w:sz="4" w:space="0" w:color="auto"/>
              <w:right w:val="single" w:sz="4" w:space="0" w:color="auto"/>
            </w:tcBorders>
            <w:hideMark/>
          </w:tcPr>
          <w:p w14:paraId="1AB38B88" w14:textId="77777777" w:rsidR="00B37D68" w:rsidRPr="009A0648" w:rsidRDefault="00B37D68" w:rsidP="00A74E1C">
            <w:pPr>
              <w:jc w:val="both"/>
              <w:rPr>
                <w:sz w:val="22"/>
                <w:szCs w:val="22"/>
              </w:rPr>
            </w:pPr>
            <w:r w:rsidRPr="009A0648">
              <w:rPr>
                <w:rFonts w:eastAsia="Times New Roman"/>
                <w:b/>
                <w:bCs/>
                <w:sz w:val="22"/>
                <w:szCs w:val="22"/>
              </w:rPr>
              <w:t>Exemption Applicability/ Documents required</w:t>
            </w:r>
          </w:p>
        </w:tc>
      </w:tr>
      <w:tr w:rsidR="00B37D68" w:rsidRPr="009A0648" w14:paraId="46F331E4" w14:textId="77777777" w:rsidTr="00A74E1C">
        <w:trPr>
          <w:jc w:val="right"/>
        </w:trPr>
        <w:tc>
          <w:tcPr>
            <w:tcW w:w="2065" w:type="dxa"/>
            <w:tcBorders>
              <w:top w:val="single" w:sz="4" w:space="0" w:color="auto"/>
              <w:left w:val="single" w:sz="4" w:space="0" w:color="auto"/>
              <w:bottom w:val="single" w:sz="4" w:space="0" w:color="auto"/>
              <w:right w:val="single" w:sz="4" w:space="0" w:color="auto"/>
            </w:tcBorders>
            <w:hideMark/>
          </w:tcPr>
          <w:p w14:paraId="1D094581" w14:textId="77777777" w:rsidR="00B37D68" w:rsidRPr="009A0648" w:rsidRDefault="00B37D68" w:rsidP="00A74E1C">
            <w:pPr>
              <w:rPr>
                <w:sz w:val="22"/>
                <w:szCs w:val="22"/>
              </w:rPr>
            </w:pPr>
            <w:r w:rsidRPr="009A0648">
              <w:rPr>
                <w:rFonts w:eastAsia="Times New Roman"/>
                <w:sz w:val="22"/>
                <w:szCs w:val="22"/>
              </w:rPr>
              <w:t xml:space="preserve">Any non-resident shareholder (including Foreign Institutional Investors, Foreign Portfolio Investors           </w:t>
            </w:r>
            <w:proofErr w:type="gramStart"/>
            <w:r w:rsidRPr="009A0648">
              <w:rPr>
                <w:rFonts w:eastAsia="Times New Roman"/>
                <w:sz w:val="22"/>
                <w:szCs w:val="22"/>
              </w:rPr>
              <w:t xml:space="preserve">   (</w:t>
            </w:r>
            <w:proofErr w:type="gramEnd"/>
            <w:r w:rsidRPr="009A0648">
              <w:rPr>
                <w:rFonts w:eastAsia="Times New Roman"/>
                <w:sz w:val="22"/>
                <w:szCs w:val="22"/>
              </w:rPr>
              <w:t>FII, FPI))</w:t>
            </w:r>
          </w:p>
        </w:tc>
        <w:tc>
          <w:tcPr>
            <w:tcW w:w="1213" w:type="dxa"/>
            <w:tcBorders>
              <w:top w:val="single" w:sz="4" w:space="0" w:color="auto"/>
              <w:left w:val="single" w:sz="4" w:space="0" w:color="auto"/>
              <w:bottom w:val="single" w:sz="4" w:space="0" w:color="auto"/>
              <w:right w:val="single" w:sz="4" w:space="0" w:color="auto"/>
            </w:tcBorders>
            <w:hideMark/>
          </w:tcPr>
          <w:p w14:paraId="07BC1BBE" w14:textId="77777777" w:rsidR="00B37D68" w:rsidRPr="009A0648" w:rsidRDefault="00B37D68" w:rsidP="00A74E1C">
            <w:pPr>
              <w:rPr>
                <w:rFonts w:eastAsia="Times New Roman"/>
                <w:sz w:val="22"/>
                <w:szCs w:val="22"/>
              </w:rPr>
            </w:pPr>
            <w:r w:rsidRPr="009A0648">
              <w:rPr>
                <w:rFonts w:eastAsia="Times New Roman"/>
                <w:sz w:val="22"/>
                <w:szCs w:val="22"/>
              </w:rPr>
              <w:t xml:space="preserve">20% </w:t>
            </w:r>
          </w:p>
          <w:p w14:paraId="5680EC23" w14:textId="77777777" w:rsidR="00B37D68" w:rsidRPr="009A0648" w:rsidRDefault="00B37D68" w:rsidP="00A74E1C">
            <w:pPr>
              <w:rPr>
                <w:sz w:val="22"/>
                <w:szCs w:val="22"/>
              </w:rPr>
            </w:pPr>
            <w:r w:rsidRPr="009A0648">
              <w:rPr>
                <w:rFonts w:eastAsia="Times New Roman"/>
                <w:sz w:val="22"/>
                <w:szCs w:val="22"/>
              </w:rPr>
              <w:t>(</w:t>
            </w:r>
            <w:proofErr w:type="gramStart"/>
            <w:r w:rsidRPr="009A0648">
              <w:rPr>
                <w:rFonts w:eastAsia="Times New Roman"/>
                <w:sz w:val="22"/>
                <w:szCs w:val="22"/>
              </w:rPr>
              <w:t>plus</w:t>
            </w:r>
            <w:proofErr w:type="gramEnd"/>
            <w:r w:rsidRPr="009A0648">
              <w:rPr>
                <w:rFonts w:eastAsia="Times New Roman"/>
                <w:sz w:val="22"/>
                <w:szCs w:val="22"/>
              </w:rPr>
              <w:t xml:space="preserve"> applicable surcharge and cess) or Tax Treaty rate whichever is lower</w:t>
            </w:r>
          </w:p>
        </w:tc>
        <w:tc>
          <w:tcPr>
            <w:tcW w:w="5311" w:type="dxa"/>
            <w:tcBorders>
              <w:top w:val="single" w:sz="4" w:space="0" w:color="auto"/>
              <w:left w:val="single" w:sz="4" w:space="0" w:color="auto"/>
              <w:bottom w:val="single" w:sz="4" w:space="0" w:color="auto"/>
              <w:right w:val="single" w:sz="4" w:space="0" w:color="auto"/>
            </w:tcBorders>
            <w:hideMark/>
          </w:tcPr>
          <w:p w14:paraId="2AEFE9AF" w14:textId="77777777" w:rsidR="00B37D68" w:rsidRPr="009A0648" w:rsidRDefault="00B37D68" w:rsidP="00A74E1C">
            <w:pPr>
              <w:shd w:val="clear" w:color="auto" w:fill="FFFFFF"/>
              <w:jc w:val="both"/>
              <w:rPr>
                <w:rStyle w:val="object"/>
                <w:color w:val="000000"/>
                <w:sz w:val="22"/>
                <w:szCs w:val="22"/>
              </w:rPr>
            </w:pPr>
            <w:r w:rsidRPr="009A0648">
              <w:rPr>
                <w:rStyle w:val="object"/>
                <w:color w:val="000000"/>
                <w:sz w:val="22"/>
                <w:szCs w:val="22"/>
              </w:rPr>
              <w:t>As per Section 90 of the Act, a non-resident shareholder has an option to be governed by the provisions of the Double Taxation Avoidance Agreement (‘DTAA’) between India and the country of tax residence of the shareholder, if such DTAA provisions are more beneficial to such shareholder. To avail the DTAA benefits, the non-resident shareholder will have to compulsorily provide the following documents: </w:t>
            </w:r>
          </w:p>
          <w:p w14:paraId="50E4B8CA" w14:textId="77777777" w:rsidR="00B37D68" w:rsidRPr="009A0648" w:rsidRDefault="00B37D68" w:rsidP="00A74E1C">
            <w:pPr>
              <w:pStyle w:val="ListParagraph"/>
              <w:numPr>
                <w:ilvl w:val="0"/>
                <w:numId w:val="6"/>
              </w:numPr>
              <w:shd w:val="clear" w:color="auto" w:fill="FFFFFF"/>
              <w:jc w:val="both"/>
              <w:rPr>
                <w:rStyle w:val="object"/>
                <w:rFonts w:cs="Times New Roman"/>
                <w:color w:val="000000"/>
                <w:sz w:val="22"/>
                <w:szCs w:val="22"/>
              </w:rPr>
            </w:pPr>
            <w:r w:rsidRPr="009A0648">
              <w:rPr>
                <w:rStyle w:val="object"/>
                <w:rFonts w:cs="Times New Roman"/>
                <w:color w:val="000000"/>
                <w:sz w:val="22"/>
                <w:szCs w:val="22"/>
              </w:rPr>
              <w:t>Copy of Permanent Account Number (PAN), if available.</w:t>
            </w:r>
          </w:p>
          <w:p w14:paraId="7191EB88" w14:textId="77777777" w:rsidR="00B37D68" w:rsidRPr="009A0648" w:rsidRDefault="00B37D68" w:rsidP="00A74E1C">
            <w:pPr>
              <w:pStyle w:val="ListParagraph"/>
              <w:numPr>
                <w:ilvl w:val="0"/>
                <w:numId w:val="6"/>
              </w:numPr>
              <w:shd w:val="clear" w:color="auto" w:fill="FFFFFF"/>
              <w:jc w:val="both"/>
              <w:rPr>
                <w:rStyle w:val="object"/>
                <w:rFonts w:cs="Times New Roman"/>
                <w:sz w:val="22"/>
                <w:szCs w:val="22"/>
              </w:rPr>
            </w:pPr>
            <w:r w:rsidRPr="009A0648">
              <w:rPr>
                <w:rStyle w:val="object"/>
                <w:rFonts w:cs="Times New Roman"/>
                <w:color w:val="000000"/>
                <w:sz w:val="22"/>
                <w:szCs w:val="22"/>
              </w:rPr>
              <w:t>Self-attested copy of Tax Residency Certificate (‘TRC’) issued by the revenue authorities of the country of which shareholder is tax resident, evidencing and certifying shareholder’s tax residency status during FY 2025-26.</w:t>
            </w:r>
          </w:p>
          <w:p w14:paraId="0605AB8F" w14:textId="77777777" w:rsidR="00B37D68" w:rsidRPr="009A0648" w:rsidRDefault="00B37D68" w:rsidP="00A74E1C">
            <w:pPr>
              <w:pStyle w:val="ListParagraph"/>
              <w:numPr>
                <w:ilvl w:val="0"/>
                <w:numId w:val="6"/>
              </w:numPr>
              <w:shd w:val="clear" w:color="auto" w:fill="FFFFFF"/>
              <w:jc w:val="both"/>
              <w:rPr>
                <w:rStyle w:val="object"/>
                <w:rFonts w:cs="Times New Roman"/>
                <w:color w:val="000000"/>
                <w:sz w:val="22"/>
                <w:szCs w:val="22"/>
              </w:rPr>
            </w:pPr>
            <w:r w:rsidRPr="009A0648">
              <w:rPr>
                <w:rStyle w:val="object"/>
                <w:rFonts w:cs="Times New Roman"/>
                <w:color w:val="000000"/>
                <w:sz w:val="22"/>
                <w:szCs w:val="22"/>
              </w:rPr>
              <w:t xml:space="preserve">E-filed Form 10F filed on the Indian Income-tax e-filing portal valid for the FY 2025-26. </w:t>
            </w:r>
          </w:p>
          <w:p w14:paraId="229336D6" w14:textId="7D79B34F" w:rsidR="00B37D68" w:rsidRPr="009A0648" w:rsidRDefault="00B37D68" w:rsidP="00A74E1C">
            <w:pPr>
              <w:pStyle w:val="ListParagraph"/>
              <w:numPr>
                <w:ilvl w:val="0"/>
                <w:numId w:val="6"/>
              </w:numPr>
              <w:shd w:val="clear" w:color="auto" w:fill="FFFFFF"/>
              <w:jc w:val="both"/>
              <w:rPr>
                <w:rStyle w:val="object"/>
                <w:rFonts w:cs="Times New Roman"/>
                <w:color w:val="000000"/>
                <w:sz w:val="22"/>
                <w:szCs w:val="22"/>
              </w:rPr>
            </w:pPr>
            <w:r w:rsidRPr="009A0648">
              <w:rPr>
                <w:rStyle w:val="object"/>
                <w:rFonts w:cs="Times New Roman"/>
                <w:color w:val="000000"/>
                <w:sz w:val="22"/>
                <w:szCs w:val="22"/>
              </w:rPr>
              <w:t xml:space="preserve">Self-declaration of having no taxable presence, fixed </w:t>
            </w:r>
            <w:r w:rsidRPr="009A0648">
              <w:rPr>
                <w:rStyle w:val="object"/>
                <w:rFonts w:cs="Times New Roman"/>
                <w:color w:val="000000" w:themeColor="text1"/>
                <w:sz w:val="22"/>
                <w:szCs w:val="22"/>
              </w:rPr>
              <w:t>base</w:t>
            </w:r>
            <w:r w:rsidRPr="009A0648">
              <w:rPr>
                <w:rStyle w:val="object"/>
                <w:rFonts w:cs="Times New Roman"/>
                <w:color w:val="000000"/>
                <w:sz w:val="22"/>
                <w:szCs w:val="22"/>
              </w:rPr>
              <w:t xml:space="preserve"> or permanent establishment in India in accordance with the applicable Tax Treaty and Beneficial ownership by the non-resident shareholder </w:t>
            </w:r>
            <w:r w:rsidRPr="009A0648">
              <w:rPr>
                <w:rStyle w:val="object"/>
                <w:rFonts w:cs="Times New Roman"/>
                <w:color w:val="000000"/>
                <w:sz w:val="22"/>
                <w:szCs w:val="22"/>
              </w:rPr>
              <w:br/>
            </w:r>
            <w:r w:rsidRPr="009A0648">
              <w:rPr>
                <w:rStyle w:val="object"/>
                <w:rFonts w:cs="Times New Roman"/>
                <w:b/>
                <w:bCs/>
                <w:color w:val="000000"/>
                <w:sz w:val="22"/>
                <w:szCs w:val="22"/>
              </w:rPr>
              <w:t>(</w:t>
            </w:r>
            <w:hyperlink r:id="rId6" w:history="1">
              <w:r w:rsidRPr="00F95B8E">
                <w:rPr>
                  <w:rStyle w:val="Hyperlink"/>
                  <w:rFonts w:cs="Times New Roman"/>
                  <w:b/>
                  <w:bCs/>
                  <w:sz w:val="22"/>
                  <w:szCs w:val="22"/>
                </w:rPr>
                <w:t>Annexur</w:t>
              </w:r>
              <w:r w:rsidRPr="00F95B8E">
                <w:rPr>
                  <w:rStyle w:val="Hyperlink"/>
                  <w:rFonts w:cs="Times New Roman"/>
                  <w:b/>
                  <w:bCs/>
                  <w:sz w:val="22"/>
                  <w:szCs w:val="22"/>
                </w:rPr>
                <w:t>e</w:t>
              </w:r>
              <w:r w:rsidRPr="00F95B8E">
                <w:rPr>
                  <w:rStyle w:val="Hyperlink"/>
                  <w:rFonts w:cs="Times New Roman"/>
                  <w:b/>
                  <w:bCs/>
                  <w:sz w:val="22"/>
                  <w:szCs w:val="22"/>
                </w:rPr>
                <w:t xml:space="preserve"> 5</w:t>
              </w:r>
            </w:hyperlink>
            <w:r w:rsidRPr="009A0648">
              <w:rPr>
                <w:rStyle w:val="object"/>
                <w:rFonts w:cs="Times New Roman"/>
                <w:color w:val="000000"/>
                <w:sz w:val="22"/>
                <w:szCs w:val="22"/>
              </w:rPr>
              <w:t>).</w:t>
            </w:r>
          </w:p>
          <w:p w14:paraId="04AB77D4" w14:textId="77777777" w:rsidR="00B37D68" w:rsidRPr="009A0648" w:rsidRDefault="00B37D68" w:rsidP="00A74E1C">
            <w:pPr>
              <w:jc w:val="both"/>
              <w:rPr>
                <w:rFonts w:eastAsia="Times New Roman"/>
                <w:color w:val="000000" w:themeColor="text1"/>
                <w:sz w:val="22"/>
                <w:szCs w:val="22"/>
              </w:rPr>
            </w:pPr>
          </w:p>
          <w:p w14:paraId="4120A974" w14:textId="77777777" w:rsidR="00B37D68" w:rsidRPr="009A0648" w:rsidRDefault="00B37D68" w:rsidP="00A74E1C">
            <w:pPr>
              <w:jc w:val="both"/>
              <w:rPr>
                <w:rFonts w:eastAsia="Times New Roman"/>
                <w:sz w:val="22"/>
                <w:szCs w:val="22"/>
              </w:rPr>
            </w:pPr>
            <w:r w:rsidRPr="009A0648">
              <w:rPr>
                <w:rFonts w:eastAsia="Times New Roman"/>
                <w:color w:val="000000" w:themeColor="text1"/>
                <w:sz w:val="22"/>
                <w:szCs w:val="22"/>
              </w:rPr>
              <w:t>Application of beneficial DTAA rate shall depend upon the completeness and satisfactory review by the Company of the documents submitted by the Non-Resident shareholders. The Company will apply its sole discretion and is not obligated to apply the beneficial DTAA rates for tax deduction on dividend payable to shareholders.</w:t>
            </w:r>
          </w:p>
          <w:p w14:paraId="1D118BC7" w14:textId="77777777" w:rsidR="00B37D68" w:rsidRPr="009A0648" w:rsidRDefault="00B37D68" w:rsidP="00A74E1C">
            <w:pPr>
              <w:jc w:val="both"/>
              <w:rPr>
                <w:rFonts w:eastAsia="Times New Roman"/>
                <w:sz w:val="22"/>
                <w:szCs w:val="22"/>
              </w:rPr>
            </w:pPr>
          </w:p>
          <w:p w14:paraId="452C1374" w14:textId="77777777" w:rsidR="00B37D68" w:rsidRPr="009A0648" w:rsidRDefault="00B37D68" w:rsidP="00A74E1C">
            <w:pPr>
              <w:jc w:val="both"/>
              <w:rPr>
                <w:sz w:val="22"/>
                <w:szCs w:val="22"/>
              </w:rPr>
            </w:pPr>
            <w:r w:rsidRPr="009A0648">
              <w:rPr>
                <w:rFonts w:eastAsia="Times New Roman"/>
                <w:sz w:val="22"/>
                <w:szCs w:val="22"/>
              </w:rPr>
              <w:t xml:space="preserve">TDS shall be recovered at 20% (plus applicable surcharge and cess) if any of the above-mentioned documents are not provided. </w:t>
            </w:r>
          </w:p>
        </w:tc>
      </w:tr>
      <w:tr w:rsidR="00B37D68" w:rsidRPr="009A0648" w14:paraId="6BCE450B" w14:textId="77777777" w:rsidTr="00A74E1C">
        <w:trPr>
          <w:jc w:val="right"/>
        </w:trPr>
        <w:tc>
          <w:tcPr>
            <w:tcW w:w="2065" w:type="dxa"/>
            <w:tcBorders>
              <w:top w:val="single" w:sz="4" w:space="0" w:color="auto"/>
              <w:left w:val="single" w:sz="4" w:space="0" w:color="auto"/>
              <w:bottom w:val="single" w:sz="4" w:space="0" w:color="auto"/>
              <w:right w:val="single" w:sz="4" w:space="0" w:color="auto"/>
            </w:tcBorders>
            <w:hideMark/>
          </w:tcPr>
          <w:p w14:paraId="7ACDCF1E" w14:textId="77777777" w:rsidR="00B37D68" w:rsidRPr="009A0648" w:rsidRDefault="00B37D68" w:rsidP="00A74E1C">
            <w:pPr>
              <w:rPr>
                <w:sz w:val="22"/>
                <w:szCs w:val="22"/>
              </w:rPr>
            </w:pPr>
            <w:r w:rsidRPr="009A0648">
              <w:rPr>
                <w:rFonts w:eastAsia="Times New Roman"/>
                <w:sz w:val="22"/>
                <w:szCs w:val="22"/>
              </w:rPr>
              <w:t>Submitting Order under section 195(3) /197 of the Act</w:t>
            </w:r>
          </w:p>
        </w:tc>
        <w:tc>
          <w:tcPr>
            <w:tcW w:w="1213" w:type="dxa"/>
            <w:tcBorders>
              <w:top w:val="single" w:sz="4" w:space="0" w:color="auto"/>
              <w:left w:val="single" w:sz="4" w:space="0" w:color="auto"/>
              <w:bottom w:val="single" w:sz="4" w:space="0" w:color="auto"/>
              <w:right w:val="single" w:sz="4" w:space="0" w:color="auto"/>
            </w:tcBorders>
            <w:hideMark/>
          </w:tcPr>
          <w:p w14:paraId="448FA331" w14:textId="77777777" w:rsidR="00B37D68" w:rsidRPr="009A0648" w:rsidRDefault="00B37D68" w:rsidP="00A74E1C">
            <w:pPr>
              <w:rPr>
                <w:sz w:val="22"/>
                <w:szCs w:val="22"/>
              </w:rPr>
            </w:pPr>
            <w:r w:rsidRPr="009A0648">
              <w:rPr>
                <w:rFonts w:eastAsia="Times New Roman"/>
                <w:sz w:val="22"/>
                <w:szCs w:val="22"/>
              </w:rPr>
              <w:t>Rate provided in the Order</w:t>
            </w:r>
          </w:p>
        </w:tc>
        <w:tc>
          <w:tcPr>
            <w:tcW w:w="5311" w:type="dxa"/>
            <w:tcBorders>
              <w:top w:val="single" w:sz="4" w:space="0" w:color="auto"/>
              <w:left w:val="single" w:sz="4" w:space="0" w:color="auto"/>
              <w:bottom w:val="single" w:sz="4" w:space="0" w:color="auto"/>
              <w:right w:val="single" w:sz="4" w:space="0" w:color="auto"/>
            </w:tcBorders>
            <w:hideMark/>
          </w:tcPr>
          <w:p w14:paraId="55745ADA" w14:textId="77777777" w:rsidR="00B37D68" w:rsidRPr="009A0648" w:rsidRDefault="00B37D68" w:rsidP="00A74E1C">
            <w:pPr>
              <w:jc w:val="both"/>
              <w:rPr>
                <w:sz w:val="22"/>
                <w:szCs w:val="22"/>
              </w:rPr>
            </w:pPr>
            <w:r w:rsidRPr="009A0648">
              <w:rPr>
                <w:rFonts w:eastAsia="Times New Roman"/>
                <w:sz w:val="22"/>
                <w:szCs w:val="22"/>
              </w:rPr>
              <w:t>Lower/NIL withholding tax certificate obtained from Income Tax authorities.</w:t>
            </w:r>
          </w:p>
        </w:tc>
      </w:tr>
    </w:tbl>
    <w:p w14:paraId="36CC1595" w14:textId="77777777" w:rsidR="00B37D68" w:rsidRDefault="00B37D68" w:rsidP="00B0490F">
      <w:pPr>
        <w:adjustRightInd w:val="0"/>
        <w:jc w:val="both"/>
        <w:rPr>
          <w:sz w:val="22"/>
          <w:szCs w:val="22"/>
        </w:rPr>
      </w:pPr>
    </w:p>
    <w:p w14:paraId="665DD582" w14:textId="77777777" w:rsidR="00BD1E66" w:rsidRPr="009A0648" w:rsidRDefault="00BD1E66" w:rsidP="00B0490F">
      <w:pPr>
        <w:adjustRightInd w:val="0"/>
        <w:jc w:val="both"/>
        <w:rPr>
          <w:sz w:val="22"/>
          <w:szCs w:val="22"/>
        </w:rPr>
      </w:pPr>
    </w:p>
    <w:sectPr w:rsidR="00BD1E66" w:rsidRPr="009A0648" w:rsidSect="00FB37F0">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04"/>
    <w:multiLevelType w:val="hybridMultilevel"/>
    <w:tmpl w:val="330CB93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B805DA5"/>
    <w:multiLevelType w:val="hybridMultilevel"/>
    <w:tmpl w:val="79CCFE3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 w15:restartNumberingAfterBreak="0">
    <w:nsid w:val="134617DF"/>
    <w:multiLevelType w:val="hybridMultilevel"/>
    <w:tmpl w:val="0DFCC9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 w15:restartNumberingAfterBreak="0">
    <w:nsid w:val="15620E00"/>
    <w:multiLevelType w:val="hybridMultilevel"/>
    <w:tmpl w:val="7E062A7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F0C4943"/>
    <w:multiLevelType w:val="hybridMultilevel"/>
    <w:tmpl w:val="862E140E"/>
    <w:lvl w:ilvl="0" w:tplc="B1EAFC7E">
      <w:start w:val="1"/>
      <w:numFmt w:val="bullet"/>
      <w:lvlText w:val=""/>
      <w:lvlJc w:val="left"/>
      <w:pPr>
        <w:ind w:left="360" w:hanging="360"/>
      </w:pPr>
      <w:rPr>
        <w:rFonts w:ascii="Symbol" w:hAnsi="Symbol" w:hint="default"/>
        <w:color w:val="000000" w:themeColor="text1"/>
      </w:rPr>
    </w:lvl>
    <w:lvl w:ilvl="1" w:tplc="4009000F">
      <w:start w:val="1"/>
      <w:numFmt w:val="decimal"/>
      <w:lvlText w:val="%2."/>
      <w:lvlJc w:val="left"/>
      <w:pPr>
        <w:ind w:left="1080" w:hanging="360"/>
      </w:pPr>
      <w:rPr>
        <w:rFonts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0415BB9"/>
    <w:multiLevelType w:val="hybridMultilevel"/>
    <w:tmpl w:val="4DDC5E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6" w15:restartNumberingAfterBreak="0">
    <w:nsid w:val="333A734A"/>
    <w:multiLevelType w:val="hybridMultilevel"/>
    <w:tmpl w:val="658890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5D86072"/>
    <w:multiLevelType w:val="hybridMultilevel"/>
    <w:tmpl w:val="67B64EF0"/>
    <w:lvl w:ilvl="0" w:tplc="DBF87002">
      <w:start w:val="1"/>
      <w:numFmt w:val="upperRoman"/>
      <w:lvlText w:val="%1."/>
      <w:lvlJc w:val="righ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EB2C65"/>
    <w:multiLevelType w:val="hybridMultilevel"/>
    <w:tmpl w:val="5BBCA4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9" w15:restartNumberingAfterBreak="0">
    <w:nsid w:val="3CE610CB"/>
    <w:multiLevelType w:val="hybridMultilevel"/>
    <w:tmpl w:val="F00CB67C"/>
    <w:lvl w:ilvl="0" w:tplc="4009000F">
      <w:start w:val="1"/>
      <w:numFmt w:val="decimal"/>
      <w:lvlText w:val="%1."/>
      <w:lvlJc w:val="left"/>
      <w:pPr>
        <w:ind w:left="360" w:hanging="360"/>
      </w:pPr>
    </w:lvl>
    <w:lvl w:ilvl="1" w:tplc="4EB4B42A">
      <w:start w:val="1"/>
      <w:numFmt w:val="lowerLetter"/>
      <w:lvlText w:val="%2."/>
      <w:lvlJc w:val="left"/>
      <w:pPr>
        <w:ind w:left="1080" w:hanging="360"/>
      </w:pPr>
      <w:rPr>
        <w:rFonts w:ascii="Arial" w:eastAsiaTheme="minorHAnsi" w:hAnsi="Arial" w:cs="Arial"/>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FC530DE"/>
    <w:multiLevelType w:val="hybridMultilevel"/>
    <w:tmpl w:val="A5C85FBA"/>
    <w:lvl w:ilvl="0" w:tplc="DBF87002">
      <w:start w:val="1"/>
      <w:numFmt w:val="upperRoman"/>
      <w:lvlText w:val="%1."/>
      <w:lvlJc w:val="righ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9BF74F8"/>
    <w:multiLevelType w:val="multilevel"/>
    <w:tmpl w:val="4AAAC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7E477C"/>
    <w:multiLevelType w:val="hybridMultilevel"/>
    <w:tmpl w:val="EA707724"/>
    <w:lvl w:ilvl="0" w:tplc="3BEE6A24">
      <w:start w:val="1"/>
      <w:numFmt w:val="decimal"/>
      <w:lvlText w:val="%1."/>
      <w:lvlJc w:val="left"/>
      <w:pPr>
        <w:ind w:left="360" w:hanging="360"/>
      </w:pPr>
      <w:rPr>
        <w:rFonts w:hint="default"/>
        <w:b/>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796646F"/>
    <w:multiLevelType w:val="hybridMultilevel"/>
    <w:tmpl w:val="C8342B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9420FC2"/>
    <w:multiLevelType w:val="hybridMultilevel"/>
    <w:tmpl w:val="09BE3BA6"/>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96A0B6F"/>
    <w:multiLevelType w:val="hybridMultilevel"/>
    <w:tmpl w:val="C6FEA6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BB61C49"/>
    <w:multiLevelType w:val="multilevel"/>
    <w:tmpl w:val="9A4835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FE931E6"/>
    <w:multiLevelType w:val="hybridMultilevel"/>
    <w:tmpl w:val="0B900A5E"/>
    <w:lvl w:ilvl="0" w:tplc="0F86FAEC">
      <w:start w:val="2"/>
      <w:numFmt w:val="upperRoman"/>
      <w:lvlText w:val="%1."/>
      <w:lvlJc w:val="righ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0A60162"/>
    <w:multiLevelType w:val="hybridMultilevel"/>
    <w:tmpl w:val="4DDC5E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9" w15:restartNumberingAfterBreak="0">
    <w:nsid w:val="73D75211"/>
    <w:multiLevelType w:val="hybridMultilevel"/>
    <w:tmpl w:val="33BE52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7BBE6C85"/>
    <w:multiLevelType w:val="hybridMultilevel"/>
    <w:tmpl w:val="5BBCA4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num w:numId="1">
    <w:abstractNumId w:val="3"/>
  </w:num>
  <w:num w:numId="2">
    <w:abstractNumId w:val="0"/>
  </w:num>
  <w:num w:numId="3">
    <w:abstractNumId w:val="16"/>
  </w:num>
  <w:num w:numId="4">
    <w:abstractNumId w:val="4"/>
  </w:num>
  <w:num w:numId="5">
    <w:abstractNumId w:val="13"/>
  </w:num>
  <w:num w:numId="6">
    <w:abstractNumId w:val="14"/>
  </w:num>
  <w:num w:numId="7">
    <w:abstractNumId w:val="7"/>
  </w:num>
  <w:num w:numId="8">
    <w:abstractNumId w:val="2"/>
  </w:num>
  <w:num w:numId="9">
    <w:abstractNumId w:val="1"/>
  </w:num>
  <w:num w:numId="10">
    <w:abstractNumId w:val="8"/>
  </w:num>
  <w:num w:numId="11">
    <w:abstractNumId w:val="20"/>
  </w:num>
  <w:num w:numId="12">
    <w:abstractNumId w:val="18"/>
  </w:num>
  <w:num w:numId="13">
    <w:abstractNumId w:val="5"/>
  </w:num>
  <w:num w:numId="14">
    <w:abstractNumId w:val="9"/>
  </w:num>
  <w:num w:numId="15">
    <w:abstractNumId w:val="6"/>
  </w:num>
  <w:num w:numId="16">
    <w:abstractNumId w:val="19"/>
  </w:num>
  <w:num w:numId="17">
    <w:abstractNumId w:val="10"/>
  </w:num>
  <w:num w:numId="18">
    <w:abstractNumId w:val="15"/>
  </w:num>
  <w:num w:numId="19">
    <w:abstractNumId w:val="17"/>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6D"/>
    <w:rsid w:val="000030D4"/>
    <w:rsid w:val="00013D9D"/>
    <w:rsid w:val="000547C9"/>
    <w:rsid w:val="00070CB8"/>
    <w:rsid w:val="00083210"/>
    <w:rsid w:val="0008701C"/>
    <w:rsid w:val="00092A70"/>
    <w:rsid w:val="000971C7"/>
    <w:rsid w:val="000A3D2A"/>
    <w:rsid w:val="000C2D4D"/>
    <w:rsid w:val="000C5BD2"/>
    <w:rsid w:val="000D074F"/>
    <w:rsid w:val="000E2BCB"/>
    <w:rsid w:val="000F63FF"/>
    <w:rsid w:val="001013A8"/>
    <w:rsid w:val="00102A68"/>
    <w:rsid w:val="00105550"/>
    <w:rsid w:val="00110EC0"/>
    <w:rsid w:val="00115497"/>
    <w:rsid w:val="00120433"/>
    <w:rsid w:val="00123D06"/>
    <w:rsid w:val="00140C0C"/>
    <w:rsid w:val="001470EE"/>
    <w:rsid w:val="00150B71"/>
    <w:rsid w:val="001672DE"/>
    <w:rsid w:val="001721E2"/>
    <w:rsid w:val="00172871"/>
    <w:rsid w:val="00185A1D"/>
    <w:rsid w:val="00185F81"/>
    <w:rsid w:val="001D113E"/>
    <w:rsid w:val="001D300E"/>
    <w:rsid w:val="001E63A9"/>
    <w:rsid w:val="0022238F"/>
    <w:rsid w:val="00264A66"/>
    <w:rsid w:val="00293C95"/>
    <w:rsid w:val="0029667F"/>
    <w:rsid w:val="002A26EF"/>
    <w:rsid w:val="002B4546"/>
    <w:rsid w:val="002C1DE9"/>
    <w:rsid w:val="002C5315"/>
    <w:rsid w:val="002C708B"/>
    <w:rsid w:val="0032129D"/>
    <w:rsid w:val="00334EFD"/>
    <w:rsid w:val="00347316"/>
    <w:rsid w:val="00352739"/>
    <w:rsid w:val="00390F60"/>
    <w:rsid w:val="0039425C"/>
    <w:rsid w:val="003B68FF"/>
    <w:rsid w:val="003B777E"/>
    <w:rsid w:val="003D10E7"/>
    <w:rsid w:val="003E5F0B"/>
    <w:rsid w:val="003E694F"/>
    <w:rsid w:val="003E759F"/>
    <w:rsid w:val="00402747"/>
    <w:rsid w:val="00411C12"/>
    <w:rsid w:val="00413C2E"/>
    <w:rsid w:val="00416B49"/>
    <w:rsid w:val="00420EE5"/>
    <w:rsid w:val="00434C7A"/>
    <w:rsid w:val="00440FBD"/>
    <w:rsid w:val="00474F89"/>
    <w:rsid w:val="00491BCD"/>
    <w:rsid w:val="0049234B"/>
    <w:rsid w:val="004A4807"/>
    <w:rsid w:val="004A6C91"/>
    <w:rsid w:val="004B3483"/>
    <w:rsid w:val="004F44A9"/>
    <w:rsid w:val="00506720"/>
    <w:rsid w:val="00507BC8"/>
    <w:rsid w:val="00512097"/>
    <w:rsid w:val="00536634"/>
    <w:rsid w:val="0054159A"/>
    <w:rsid w:val="00542F7E"/>
    <w:rsid w:val="00554EA8"/>
    <w:rsid w:val="0057008D"/>
    <w:rsid w:val="00574742"/>
    <w:rsid w:val="00582853"/>
    <w:rsid w:val="00582ABB"/>
    <w:rsid w:val="00584C14"/>
    <w:rsid w:val="005B6C5F"/>
    <w:rsid w:val="00612AED"/>
    <w:rsid w:val="006213F0"/>
    <w:rsid w:val="00630E08"/>
    <w:rsid w:val="006369E3"/>
    <w:rsid w:val="006607A8"/>
    <w:rsid w:val="00687811"/>
    <w:rsid w:val="00696FEC"/>
    <w:rsid w:val="006B4E9E"/>
    <w:rsid w:val="006F4714"/>
    <w:rsid w:val="006F73B6"/>
    <w:rsid w:val="00714912"/>
    <w:rsid w:val="0071727C"/>
    <w:rsid w:val="00757C6C"/>
    <w:rsid w:val="007659B6"/>
    <w:rsid w:val="0079180A"/>
    <w:rsid w:val="00795571"/>
    <w:rsid w:val="007A4A0F"/>
    <w:rsid w:val="007C43F4"/>
    <w:rsid w:val="007D15D9"/>
    <w:rsid w:val="007D2BA5"/>
    <w:rsid w:val="007E065E"/>
    <w:rsid w:val="007F1D8D"/>
    <w:rsid w:val="007F502B"/>
    <w:rsid w:val="00802C5C"/>
    <w:rsid w:val="00810D81"/>
    <w:rsid w:val="008266CA"/>
    <w:rsid w:val="00835ACA"/>
    <w:rsid w:val="00861DAE"/>
    <w:rsid w:val="00862F6D"/>
    <w:rsid w:val="008730D7"/>
    <w:rsid w:val="008746DA"/>
    <w:rsid w:val="008A7F91"/>
    <w:rsid w:val="008B0AB0"/>
    <w:rsid w:val="008C16C3"/>
    <w:rsid w:val="008C64BF"/>
    <w:rsid w:val="008C68DD"/>
    <w:rsid w:val="008D6B72"/>
    <w:rsid w:val="008D7A8E"/>
    <w:rsid w:val="008F27BB"/>
    <w:rsid w:val="00901681"/>
    <w:rsid w:val="00904EE7"/>
    <w:rsid w:val="0092599C"/>
    <w:rsid w:val="0094062A"/>
    <w:rsid w:val="00946855"/>
    <w:rsid w:val="00952ADC"/>
    <w:rsid w:val="009642F5"/>
    <w:rsid w:val="00980C4E"/>
    <w:rsid w:val="00981656"/>
    <w:rsid w:val="009919EA"/>
    <w:rsid w:val="00993DF9"/>
    <w:rsid w:val="00996C1A"/>
    <w:rsid w:val="009A0648"/>
    <w:rsid w:val="009A3D1F"/>
    <w:rsid w:val="009A427B"/>
    <w:rsid w:val="009A519D"/>
    <w:rsid w:val="00A11878"/>
    <w:rsid w:val="00A163AA"/>
    <w:rsid w:val="00A2071D"/>
    <w:rsid w:val="00A22148"/>
    <w:rsid w:val="00A24B36"/>
    <w:rsid w:val="00A66248"/>
    <w:rsid w:val="00A766E8"/>
    <w:rsid w:val="00A77EAD"/>
    <w:rsid w:val="00A87FB5"/>
    <w:rsid w:val="00AF0602"/>
    <w:rsid w:val="00B0490F"/>
    <w:rsid w:val="00B24283"/>
    <w:rsid w:val="00B341CA"/>
    <w:rsid w:val="00B37D68"/>
    <w:rsid w:val="00B424A7"/>
    <w:rsid w:val="00B444C3"/>
    <w:rsid w:val="00B47E17"/>
    <w:rsid w:val="00B61372"/>
    <w:rsid w:val="00B762AC"/>
    <w:rsid w:val="00B83171"/>
    <w:rsid w:val="00BA3B96"/>
    <w:rsid w:val="00BD1E66"/>
    <w:rsid w:val="00C45CAD"/>
    <w:rsid w:val="00C534C1"/>
    <w:rsid w:val="00C85D20"/>
    <w:rsid w:val="00CB6372"/>
    <w:rsid w:val="00CC0322"/>
    <w:rsid w:val="00CE0A82"/>
    <w:rsid w:val="00CE56D4"/>
    <w:rsid w:val="00CE6ADD"/>
    <w:rsid w:val="00CF1E44"/>
    <w:rsid w:val="00CF502F"/>
    <w:rsid w:val="00CF6BBF"/>
    <w:rsid w:val="00D11404"/>
    <w:rsid w:val="00D31948"/>
    <w:rsid w:val="00D32B4F"/>
    <w:rsid w:val="00D34ECC"/>
    <w:rsid w:val="00D35CCF"/>
    <w:rsid w:val="00D54340"/>
    <w:rsid w:val="00D56287"/>
    <w:rsid w:val="00D635EA"/>
    <w:rsid w:val="00D76358"/>
    <w:rsid w:val="00D941D7"/>
    <w:rsid w:val="00D9444E"/>
    <w:rsid w:val="00D95EF2"/>
    <w:rsid w:val="00D97843"/>
    <w:rsid w:val="00DA488B"/>
    <w:rsid w:val="00DD285A"/>
    <w:rsid w:val="00DF4BA7"/>
    <w:rsid w:val="00DF6CAC"/>
    <w:rsid w:val="00DF7D4F"/>
    <w:rsid w:val="00E02EE0"/>
    <w:rsid w:val="00E17D99"/>
    <w:rsid w:val="00E3624E"/>
    <w:rsid w:val="00E523C1"/>
    <w:rsid w:val="00E532CE"/>
    <w:rsid w:val="00E94740"/>
    <w:rsid w:val="00E97793"/>
    <w:rsid w:val="00EF46D9"/>
    <w:rsid w:val="00F07F4B"/>
    <w:rsid w:val="00F12AD3"/>
    <w:rsid w:val="00F230AA"/>
    <w:rsid w:val="00F2341B"/>
    <w:rsid w:val="00F25F49"/>
    <w:rsid w:val="00F627EE"/>
    <w:rsid w:val="00F95B8E"/>
    <w:rsid w:val="00FA5318"/>
    <w:rsid w:val="00FB2203"/>
    <w:rsid w:val="00FB37F0"/>
    <w:rsid w:val="00FD2FF8"/>
    <w:rsid w:val="00FD486E"/>
    <w:rsid w:val="00FF07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2A4D"/>
  <w15:chartTrackingRefBased/>
  <w15:docId w15:val="{5BD0B504-1823-4A3D-89FC-7BB8EE86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6D"/>
    <w:pPr>
      <w:spacing w:after="0"/>
    </w:pPr>
    <w:rPr>
      <w:rFonts w:ascii="Times New Roman" w:hAnsi="Times New Roman" w:cs="Times New Roman"/>
      <w:sz w:val="24"/>
      <w:szCs w:val="24"/>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F6D"/>
    <w:rPr>
      <w:color w:val="0000FF"/>
      <w:u w:val="single"/>
    </w:rPr>
  </w:style>
  <w:style w:type="paragraph" w:styleId="NormalWeb">
    <w:name w:val="Normal (Web)"/>
    <w:basedOn w:val="Normal"/>
    <w:uiPriority w:val="99"/>
    <w:unhideWhenUsed/>
    <w:rsid w:val="00862F6D"/>
    <w:pPr>
      <w:spacing w:before="100" w:beforeAutospacing="1" w:after="100" w:afterAutospacing="1"/>
    </w:pPr>
  </w:style>
  <w:style w:type="character" w:styleId="Strong">
    <w:name w:val="Strong"/>
    <w:basedOn w:val="DefaultParagraphFont"/>
    <w:uiPriority w:val="22"/>
    <w:qFormat/>
    <w:rsid w:val="00862F6D"/>
    <w:rPr>
      <w:b/>
      <w:bCs/>
    </w:rPr>
  </w:style>
  <w:style w:type="character" w:styleId="FollowedHyperlink">
    <w:name w:val="FollowedHyperlink"/>
    <w:basedOn w:val="DefaultParagraphFont"/>
    <w:uiPriority w:val="99"/>
    <w:semiHidden/>
    <w:unhideWhenUsed/>
    <w:rsid w:val="007F1D8D"/>
    <w:rPr>
      <w:color w:val="954F72" w:themeColor="followedHyperlink"/>
      <w:u w:val="single"/>
    </w:rPr>
  </w:style>
  <w:style w:type="character" w:customStyle="1" w:styleId="object">
    <w:name w:val="object"/>
    <w:basedOn w:val="DefaultParagraphFont"/>
    <w:rsid w:val="00904EE7"/>
  </w:style>
  <w:style w:type="table" w:styleId="TableGrid">
    <w:name w:val="Table Grid"/>
    <w:basedOn w:val="TableNormal"/>
    <w:uiPriority w:val="39"/>
    <w:rsid w:val="002223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C14"/>
    <w:pPr>
      <w:ind w:left="720"/>
      <w:contextualSpacing/>
    </w:pPr>
    <w:rPr>
      <w:rFonts w:cs="Mangal"/>
      <w:szCs w:val="21"/>
    </w:rPr>
  </w:style>
  <w:style w:type="paragraph" w:styleId="BalloonText">
    <w:name w:val="Balloon Text"/>
    <w:basedOn w:val="Normal"/>
    <w:link w:val="BalloonTextChar"/>
    <w:uiPriority w:val="99"/>
    <w:semiHidden/>
    <w:unhideWhenUsed/>
    <w:rsid w:val="00434C7A"/>
    <w:rPr>
      <w:rFonts w:ascii="Segoe UI" w:hAnsi="Segoe UI" w:cs="Mangal"/>
      <w:sz w:val="18"/>
      <w:szCs w:val="16"/>
    </w:rPr>
  </w:style>
  <w:style w:type="character" w:customStyle="1" w:styleId="BalloonTextChar">
    <w:name w:val="Balloon Text Char"/>
    <w:basedOn w:val="DefaultParagraphFont"/>
    <w:link w:val="BalloonText"/>
    <w:uiPriority w:val="99"/>
    <w:semiHidden/>
    <w:rsid w:val="00434C7A"/>
    <w:rPr>
      <w:rFonts w:ascii="Segoe UI" w:hAnsi="Segoe UI" w:cs="Mangal"/>
      <w:sz w:val="18"/>
      <w:szCs w:val="16"/>
      <w:lang w:eastAsia="en-IN" w:bidi="hi-IN"/>
    </w:rPr>
  </w:style>
  <w:style w:type="character" w:customStyle="1" w:styleId="UnresolvedMention1">
    <w:name w:val="Unresolved Mention1"/>
    <w:basedOn w:val="DefaultParagraphFont"/>
    <w:uiPriority w:val="99"/>
    <w:semiHidden/>
    <w:unhideWhenUsed/>
    <w:rsid w:val="00416B49"/>
    <w:rPr>
      <w:color w:val="605E5C"/>
      <w:shd w:val="clear" w:color="auto" w:fill="E1DFDD"/>
    </w:rPr>
  </w:style>
  <w:style w:type="character" w:customStyle="1" w:styleId="UnresolvedMention2">
    <w:name w:val="Unresolved Mention2"/>
    <w:basedOn w:val="DefaultParagraphFont"/>
    <w:uiPriority w:val="99"/>
    <w:semiHidden/>
    <w:unhideWhenUsed/>
    <w:rsid w:val="003B68FF"/>
    <w:rPr>
      <w:color w:val="605E5C"/>
      <w:shd w:val="clear" w:color="auto" w:fill="E1DFDD"/>
    </w:rPr>
  </w:style>
  <w:style w:type="character" w:styleId="CommentReference">
    <w:name w:val="annotation reference"/>
    <w:basedOn w:val="DefaultParagraphFont"/>
    <w:uiPriority w:val="99"/>
    <w:semiHidden/>
    <w:unhideWhenUsed/>
    <w:rsid w:val="000F63FF"/>
    <w:rPr>
      <w:sz w:val="16"/>
      <w:szCs w:val="16"/>
    </w:rPr>
  </w:style>
  <w:style w:type="paragraph" w:styleId="CommentText">
    <w:name w:val="annotation text"/>
    <w:basedOn w:val="Normal"/>
    <w:link w:val="CommentTextChar"/>
    <w:uiPriority w:val="99"/>
    <w:semiHidden/>
    <w:unhideWhenUsed/>
    <w:rsid w:val="000F63FF"/>
    <w:rPr>
      <w:rFonts w:cs="Mangal"/>
      <w:sz w:val="20"/>
      <w:szCs w:val="18"/>
    </w:rPr>
  </w:style>
  <w:style w:type="character" w:customStyle="1" w:styleId="CommentTextChar">
    <w:name w:val="Comment Text Char"/>
    <w:basedOn w:val="DefaultParagraphFont"/>
    <w:link w:val="CommentText"/>
    <w:uiPriority w:val="99"/>
    <w:semiHidden/>
    <w:rsid w:val="000F63FF"/>
    <w:rPr>
      <w:rFonts w:ascii="Times New Roman" w:hAnsi="Times New Roman" w:cs="Mangal"/>
      <w:sz w:val="20"/>
      <w:szCs w:val="18"/>
      <w:lang w:eastAsia="en-IN" w:bidi="hi-IN"/>
    </w:rPr>
  </w:style>
  <w:style w:type="paragraph" w:styleId="CommentSubject">
    <w:name w:val="annotation subject"/>
    <w:basedOn w:val="CommentText"/>
    <w:next w:val="CommentText"/>
    <w:link w:val="CommentSubjectChar"/>
    <w:uiPriority w:val="99"/>
    <w:semiHidden/>
    <w:unhideWhenUsed/>
    <w:rsid w:val="000F63FF"/>
    <w:rPr>
      <w:b/>
      <w:bCs/>
    </w:rPr>
  </w:style>
  <w:style w:type="character" w:customStyle="1" w:styleId="CommentSubjectChar">
    <w:name w:val="Comment Subject Char"/>
    <w:basedOn w:val="CommentTextChar"/>
    <w:link w:val="CommentSubject"/>
    <w:uiPriority w:val="99"/>
    <w:semiHidden/>
    <w:rsid w:val="000F63FF"/>
    <w:rPr>
      <w:rFonts w:ascii="Times New Roman" w:hAnsi="Times New Roman" w:cs="Mangal"/>
      <w:b/>
      <w:bCs/>
      <w:sz w:val="20"/>
      <w:szCs w:val="18"/>
      <w:lang w:eastAsia="en-IN" w:bidi="hi-IN"/>
    </w:rPr>
  </w:style>
  <w:style w:type="character" w:styleId="UnresolvedMention">
    <w:name w:val="Unresolved Mention"/>
    <w:basedOn w:val="DefaultParagraphFont"/>
    <w:uiPriority w:val="99"/>
    <w:semiHidden/>
    <w:unhideWhenUsed/>
    <w:rsid w:val="000F63FF"/>
    <w:rPr>
      <w:color w:val="605E5C"/>
      <w:shd w:val="clear" w:color="auto" w:fill="E1DFDD"/>
    </w:rPr>
  </w:style>
  <w:style w:type="paragraph" w:customStyle="1" w:styleId="DefaultText">
    <w:name w:val="Default Text"/>
    <w:basedOn w:val="Normal"/>
    <w:rsid w:val="006B4E9E"/>
    <w:pPr>
      <w:autoSpaceDE w:val="0"/>
      <w:autoSpaceDN w:val="0"/>
      <w:adjustRightInd w:val="0"/>
    </w:pPr>
    <w:rPr>
      <w:rFonts w:eastAsia="SimSun"/>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3324">
      <w:bodyDiv w:val="1"/>
      <w:marLeft w:val="0"/>
      <w:marRight w:val="0"/>
      <w:marTop w:val="0"/>
      <w:marBottom w:val="0"/>
      <w:divBdr>
        <w:top w:val="none" w:sz="0" w:space="0" w:color="auto"/>
        <w:left w:val="none" w:sz="0" w:space="0" w:color="auto"/>
        <w:bottom w:val="none" w:sz="0" w:space="0" w:color="auto"/>
        <w:right w:val="none" w:sz="0" w:space="0" w:color="auto"/>
      </w:divBdr>
    </w:div>
    <w:div w:id="704060701">
      <w:bodyDiv w:val="1"/>
      <w:marLeft w:val="0"/>
      <w:marRight w:val="0"/>
      <w:marTop w:val="0"/>
      <w:marBottom w:val="0"/>
      <w:divBdr>
        <w:top w:val="none" w:sz="0" w:space="0" w:color="auto"/>
        <w:left w:val="none" w:sz="0" w:space="0" w:color="auto"/>
        <w:bottom w:val="none" w:sz="0" w:space="0" w:color="auto"/>
        <w:right w:val="none" w:sz="0" w:space="0" w:color="auto"/>
      </w:divBdr>
    </w:div>
    <w:div w:id="840583104">
      <w:bodyDiv w:val="1"/>
      <w:marLeft w:val="0"/>
      <w:marRight w:val="0"/>
      <w:marTop w:val="0"/>
      <w:marBottom w:val="0"/>
      <w:divBdr>
        <w:top w:val="none" w:sz="0" w:space="0" w:color="auto"/>
        <w:left w:val="none" w:sz="0" w:space="0" w:color="auto"/>
        <w:bottom w:val="none" w:sz="0" w:space="0" w:color="auto"/>
        <w:right w:val="none" w:sz="0" w:space="0" w:color="auto"/>
      </w:divBdr>
    </w:div>
    <w:div w:id="210024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industanpetroleum.com/documents/pdf/Annexure_5_-_Declaration_regarding_Tax_Residency.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2DB8A-D4D6-4A5A-8C46-A442CE44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 Balaji ( के एस बालाजी )</dc:creator>
  <cp:keywords/>
  <dc:description/>
  <cp:lastModifiedBy>Kashinath Mahadev Sawant ( काशिनाथ महादेव सावंत )</cp:lastModifiedBy>
  <cp:revision>14</cp:revision>
  <cp:lastPrinted>2025-06-06T12:32:00Z</cp:lastPrinted>
  <dcterms:created xsi:type="dcterms:W3CDTF">2025-06-09T04:42:00Z</dcterms:created>
  <dcterms:modified xsi:type="dcterms:W3CDTF">2025-06-10T08:58:00Z</dcterms:modified>
</cp:coreProperties>
</file>